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9CEA1">
      <w:pPr>
        <w:spacing w:line="360" w:lineRule="exact"/>
        <w:ind w:firstLine="840" w:firstLineChars="400"/>
        <w:rPr>
          <w:rFonts w:ascii="宋体" w:hAnsi="宋体" w:eastAsia="宋体" w:cs="宋体"/>
          <w:b/>
          <w:color w:val="000000" w:themeColor="text1"/>
          <w:sz w:val="32"/>
          <w:szCs w:val="32"/>
          <w14:textFill>
            <w14:solidFill>
              <w14:schemeClr w14:val="tx1"/>
            </w14:solidFill>
          </w14:textFill>
        </w:rPr>
      </w:pPr>
      <w:bookmarkStart w:id="1" w:name="_GoBack"/>
      <w:bookmarkEnd w:id="1"/>
      <w:r>
        <w:rPr>
          <w:rFonts w:hint="eastAsia" w:ascii="楷体" w:hAnsi="楷体" w:eastAsia="楷体" w:cs="楷体"/>
          <w:color w:val="0000FF"/>
          <w:kern w:val="0"/>
          <w:szCs w:val="21"/>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10731500</wp:posOffset>
            </wp:positionV>
            <wp:extent cx="342900" cy="3556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42900" cy="355600"/>
                    </a:xfrm>
                    <a:prstGeom prst="rect">
                      <a:avLst/>
                    </a:prstGeom>
                  </pic:spPr>
                </pic:pic>
              </a:graphicData>
            </a:graphic>
          </wp:anchor>
        </w:drawing>
      </w:r>
      <w:r>
        <w:rPr>
          <w:rFonts w:hint="eastAsia" w:ascii="楷体" w:hAnsi="楷体" w:eastAsia="楷体" w:cs="楷体"/>
          <w:color w:val="0000FF"/>
          <w:kern w:val="0"/>
          <w:szCs w:val="21"/>
        </w:rPr>
        <w:t xml:space="preserve">   </w:t>
      </w:r>
      <w:bookmarkStart w:id="0" w:name="_Hlk193389260"/>
      <w:bookmarkEnd w:id="0"/>
      <w:r>
        <w:rPr>
          <w:rFonts w:hint="eastAsia" w:ascii="Times New Roman" w:hAnsi="Times New Roman" w:eastAsia="黑体" w:cs="Times New Roman"/>
          <w:b/>
          <w:sz w:val="36"/>
          <w:szCs w:val="36"/>
        </w:rPr>
        <w:t>2025年上海市</w:t>
      </w:r>
      <w:r>
        <w:rPr>
          <w:rFonts w:hint="eastAsia" w:ascii="Times New Roman" w:hAnsi="Times New Roman" w:eastAsia="黑体" w:cs="Times New Roman"/>
          <w:b/>
          <w:sz w:val="36"/>
          <w:szCs w:val="36"/>
          <w:lang w:val="en-US" w:eastAsia="zh-CN"/>
        </w:rPr>
        <w:t>奉贤</w:t>
      </w:r>
      <w:r>
        <w:rPr>
          <w:rFonts w:hint="eastAsia" w:ascii="Times New Roman" w:hAnsi="Times New Roman" w:eastAsia="黑体" w:cs="Times New Roman"/>
          <w:b/>
          <w:sz w:val="36"/>
          <w:szCs w:val="36"/>
        </w:rPr>
        <w:t>区二模</w:t>
      </w:r>
      <w:r>
        <w:rPr>
          <w:rFonts w:hint="eastAsia" w:eastAsia="黑体" w:cs="Times New Roman"/>
          <w:b/>
          <w:sz w:val="36"/>
          <w:szCs w:val="36"/>
          <w:lang w:val="en-US" w:eastAsia="zh-CN"/>
        </w:rPr>
        <w:t>语文</w:t>
      </w:r>
      <w:r>
        <w:rPr>
          <w:rFonts w:hint="eastAsia" w:ascii="Times New Roman" w:hAnsi="Times New Roman" w:eastAsia="黑体" w:cs="Times New Roman"/>
          <w:b/>
          <w:sz w:val="36"/>
          <w:szCs w:val="36"/>
        </w:rPr>
        <w:t>试卷</w:t>
      </w:r>
      <w:r>
        <w:rPr>
          <w:rFonts w:hint="eastAsia" w:ascii="宋体" w:hAnsi="宋体" w:eastAsia="宋体" w:cs="宋体"/>
          <w:b/>
          <w:color w:val="000000" w:themeColor="text1"/>
          <w:sz w:val="32"/>
          <w:szCs w:val="32"/>
          <w14:textFill>
            <w14:solidFill>
              <w14:schemeClr w14:val="tx1"/>
            </w14:solidFill>
          </w14:textFill>
        </w:rPr>
        <w:t>答案</w:t>
      </w:r>
    </w:p>
    <w:p w14:paraId="5FA8F5CA">
      <w:pPr>
        <w:spacing w:line="360" w:lineRule="exact"/>
        <w:ind w:firstLine="1285" w:firstLineChars="400"/>
        <w:rPr>
          <w:rFonts w:ascii="宋体" w:hAnsi="宋体" w:eastAsia="宋体" w:cs="宋体"/>
          <w:b/>
          <w:color w:val="000000" w:themeColor="text1"/>
          <w:sz w:val="32"/>
          <w:szCs w:val="32"/>
          <w14:textFill>
            <w14:solidFill>
              <w14:schemeClr w14:val="tx1"/>
            </w14:solidFill>
          </w14:textFill>
        </w:rPr>
      </w:pPr>
    </w:p>
    <w:p w14:paraId="6FEA3799">
      <w:pPr>
        <w:wordWrap w:val="0"/>
        <w:ind w:firstLine="0" w:firstLineChars="0"/>
        <w:rPr>
          <w:rFonts w:ascii="宋体" w:hAnsi="宋体" w:eastAsia="宋体" w:cs="宋体"/>
        </w:rPr>
      </w:pPr>
      <w:r>
        <w:rPr>
          <w:rFonts w:hint="eastAsia" w:ascii="宋体" w:hAnsi="宋体" w:eastAsia="宋体" w:cs="宋体"/>
        </w:rPr>
        <w:t>1. （5分）（1）长使英雄泪满襟</w:t>
      </w:r>
    </w:p>
    <w:p w14:paraId="0763D408">
      <w:pPr>
        <w:wordWrap w:val="0"/>
        <w:ind w:firstLine="210" w:firstLineChars="100"/>
        <w:rPr>
          <w:rFonts w:ascii="宋体" w:hAnsi="宋体" w:eastAsia="宋体" w:cs="宋体"/>
        </w:rPr>
      </w:pPr>
      <w:r>
        <w:rPr>
          <w:rFonts w:hint="eastAsia" w:ascii="宋体" w:hAnsi="宋体" w:eastAsia="宋体" w:cs="宋体"/>
        </w:rPr>
        <w:t>（2）所以游目骋怀 王羲之</w:t>
      </w:r>
    </w:p>
    <w:p w14:paraId="1BC9FC84">
      <w:pPr>
        <w:wordWrap w:val="0"/>
        <w:ind w:firstLine="210" w:firstLineChars="100"/>
        <w:rPr>
          <w:rFonts w:hint="eastAsia" w:ascii="宋体" w:hAnsi="宋体" w:eastAsia="宋体" w:cs="宋体"/>
          <w:u w:val="single"/>
        </w:rPr>
      </w:pPr>
      <w:r>
        <w:rPr>
          <w:rFonts w:hint="eastAsia" w:ascii="宋体" w:hAnsi="宋体" w:eastAsia="宋体" w:cs="宋体"/>
        </w:rPr>
        <w:t>（3）为之于未有，治之于未乱</w:t>
      </w:r>
    </w:p>
    <w:p w14:paraId="2EE923FA">
      <w:pPr>
        <w:wordWrap w:val="0"/>
        <w:ind w:firstLine="0" w:firstLineChars="0"/>
        <w:rPr>
          <w:rFonts w:ascii="宋体" w:hAnsi="宋体" w:eastAsia="宋体" w:cs="宋体"/>
        </w:rPr>
      </w:pPr>
      <w:r>
        <w:rPr>
          <w:rFonts w:hint="eastAsia" w:ascii="宋体" w:hAnsi="宋体" w:eastAsia="宋体" w:cs="宋体"/>
        </w:rPr>
        <w:t>2. （5分）（1）</w:t>
      </w:r>
      <w:r>
        <w:rPr>
          <w:rFonts w:ascii="宋体" w:hAnsi="宋体" w:eastAsia="宋体" w:cs="宋体"/>
        </w:rPr>
        <w:t>A</w:t>
      </w:r>
      <w:r>
        <w:rPr>
          <w:rFonts w:hint="eastAsia" w:ascii="宋体" w:hAnsi="宋体" w:eastAsia="宋体" w:cs="宋体"/>
        </w:rPr>
        <w:t xml:space="preserve"> （2）</w:t>
      </w:r>
      <w:r>
        <w:rPr>
          <w:rFonts w:ascii="宋体" w:hAnsi="宋体" w:eastAsia="宋体" w:cs="宋体"/>
        </w:rPr>
        <w:t>C</w:t>
      </w:r>
    </w:p>
    <w:p w14:paraId="4116075C">
      <w:pPr>
        <w:tabs>
          <w:tab w:val="left" w:pos="2376"/>
        </w:tabs>
        <w:ind w:firstLine="0" w:firstLineChars="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3.（2分）（1）宇宙法则和运行规律  （2）与俗世生活相对的自然观</w:t>
      </w:r>
    </w:p>
    <w:p w14:paraId="05253096">
      <w:pPr>
        <w:tabs>
          <w:tab w:val="left" w:pos="2376"/>
        </w:tabs>
        <w:ind w:firstLine="0" w:firstLineChars="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4.（3分）D</w:t>
      </w:r>
    </w:p>
    <w:p w14:paraId="7EC5AE00">
      <w:pPr>
        <w:tabs>
          <w:tab w:val="left" w:pos="2376"/>
        </w:tabs>
        <w:ind w:firstLine="0" w:firstLineChars="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5.（3分）B</w:t>
      </w:r>
    </w:p>
    <w:p w14:paraId="00B12918">
      <w:pPr>
        <w:tabs>
          <w:tab w:val="left" w:pos="2376"/>
        </w:tabs>
        <w:ind w:firstLine="0" w:firstLineChars="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6.（3分）文章第六段罗列林奈体系划分出的植物纲目属种的具体数字，具体细致地展开上文博物学如何使用客观分类方法使自然独立于人的道德情感，为下文阐述原先凭借对人的用处来划分的标准被取代，推动了生物理解和自然观念改变作铺垫。细致罗列帮助读者理解，增加对博物学的科学认知。</w:t>
      </w:r>
    </w:p>
    <w:p w14:paraId="48A61CD6">
      <w:pPr>
        <w:tabs>
          <w:tab w:val="left" w:pos="2376"/>
        </w:tabs>
        <w:ind w:firstLine="0" w:firstLineChars="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7.（1）（3分）</w:t>
      </w:r>
    </w:p>
    <w:p w14:paraId="27AD22A3">
      <w:pPr>
        <w:ind w:firstLine="420"/>
        <w:rPr>
          <w:rFonts w:ascii="宋体" w:hAnsi="宋体" w:eastAsia="宋体" w:cs="宋体"/>
          <w:kern w:val="0"/>
          <w:szCs w:val="21"/>
        </w:rPr>
      </w:pPr>
      <w:r>
        <w:rPr>
          <w:rFonts w:ascii="宋体" w:hAnsi="宋体" w:eastAsia="宋体" w:cs="宋体"/>
          <w:kern w:val="0"/>
          <w:szCs w:val="21"/>
        </w:rPr>
        <w:t>①</w:t>
      </w:r>
      <w:r>
        <w:rPr>
          <w:rFonts w:hint="eastAsia" w:ascii="宋体" w:hAnsi="宋体" w:eastAsia="宋体" w:cs="宋体"/>
          <w:kern w:val="0"/>
          <w:szCs w:val="21"/>
        </w:rPr>
        <w:t>未能对“自然”的丰富内涵作明确界定：deepseek的回归“自然”指的是传统的自然观里的自然环境，没有全面把握“回归自然”的内涵，如材料一提及的当代人是否做到了在观念上精神上回到天然的自我，人的本真状态。</w:t>
      </w:r>
    </w:p>
    <w:p w14:paraId="38167DC3">
      <w:pPr>
        <w:ind w:firstLine="420"/>
        <w:rPr>
          <w:rFonts w:ascii="宋体" w:hAnsi="宋体" w:eastAsia="宋体" w:cs="宋体"/>
          <w:kern w:val="0"/>
          <w:szCs w:val="21"/>
        </w:rPr>
      </w:pPr>
      <w:r>
        <w:rPr>
          <w:rFonts w:hint="eastAsia" w:ascii="宋体" w:hAnsi="宋体" w:eastAsia="宋体" w:cs="宋体"/>
          <w:kern w:val="0"/>
          <w:szCs w:val="21"/>
        </w:rPr>
        <w:t>②未能全面考虑人与自然联结的途径：deepseek仅仅从李子柒等网络视频入手，认为现代人仅仅在视频和算法中观看自然，却没有考虑材料二提及的重启博物学等其他建立与自然、土地联结的方法路径，较为局限和绝对。</w:t>
      </w:r>
    </w:p>
    <w:p w14:paraId="51E384AB">
      <w:pPr>
        <w:ind w:firstLine="0" w:firstLineChars="0"/>
        <w:rPr>
          <w:rFonts w:ascii="宋体" w:hAnsi="宋体" w:eastAsia="宋体" w:cs="宋体"/>
          <w:kern w:val="0"/>
          <w:szCs w:val="21"/>
        </w:rPr>
      </w:pPr>
      <w:r>
        <w:rPr>
          <w:rFonts w:hint="eastAsia" w:ascii="宋体" w:hAnsi="宋体" w:eastAsia="宋体" w:cs="宋体"/>
          <w:kern w:val="0"/>
          <w:szCs w:val="21"/>
        </w:rPr>
        <w:t>评分说明：不合理之处的角度提炼，结合材料原文，具体分析，各一分。一组表述清楚，即可得满分。</w:t>
      </w:r>
    </w:p>
    <w:p w14:paraId="2065845E">
      <w:p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（2）评分量表：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4"/>
        <w:gridCol w:w="767"/>
        <w:gridCol w:w="2661"/>
      </w:tblGrid>
      <w:tr w14:paraId="69FC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4" w:type="dxa"/>
          </w:tcPr>
          <w:p w14:paraId="7193C15E">
            <w:pPr>
              <w:ind w:firstLine="0" w:firstLineChars="0"/>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示例</w:t>
            </w:r>
          </w:p>
        </w:tc>
        <w:tc>
          <w:tcPr>
            <w:tcW w:w="767" w:type="dxa"/>
          </w:tcPr>
          <w:p w14:paraId="4C6E2E55">
            <w:pPr>
              <w:ind w:firstLine="0" w:firstLineChars="0"/>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得分</w:t>
            </w:r>
          </w:p>
        </w:tc>
        <w:tc>
          <w:tcPr>
            <w:tcW w:w="2661" w:type="dxa"/>
          </w:tcPr>
          <w:p w14:paraId="39F43E08">
            <w:pPr>
              <w:ind w:firstLine="0" w:firstLineChars="0"/>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评分点</w:t>
            </w:r>
          </w:p>
        </w:tc>
      </w:tr>
      <w:tr w14:paraId="5AA6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4" w:type="dxa"/>
          </w:tcPr>
          <w:p w14:paraId="1AA78EC6">
            <w:pPr>
              <w:ind w:firstLine="0" w:firstLineChars="0"/>
              <w:rPr>
                <w:rFonts w:ascii="宋体" w:hAnsi="宋体" w:eastAsia="宋体" w:cs="宋体"/>
                <w:color w:val="000000" w:themeColor="text1"/>
                <w:kern w:val="0"/>
                <w:szCs w:val="21"/>
                <w14:textFill>
                  <w14:solidFill>
                    <w14:schemeClr w14:val="tx1"/>
                  </w14:solidFill>
                </w14:textFill>
              </w:rPr>
            </w:pPr>
            <w:r>
              <w:rPr>
                <w:rFonts w:ascii="宋体" w:hAnsi="宋体" w:eastAsia="宋体" w:cs="宋体"/>
                <w:kern w:val="0"/>
                <w:szCs w:val="21"/>
              </w:rPr>
              <w:t>①</w:t>
            </w:r>
            <w:r>
              <w:rPr>
                <w:rFonts w:hint="eastAsia" w:ascii="宋体" w:hAnsi="宋体" w:eastAsia="宋体" w:cs="宋体"/>
                <w:color w:val="000000" w:themeColor="text1"/>
                <w:kern w:val="0"/>
                <w:szCs w:val="21"/>
                <w14:textFill>
                  <w14:solidFill>
                    <w14:schemeClr w14:val="tx1"/>
                  </w14:solidFill>
                </w14:textFill>
              </w:rPr>
              <w:t>请搜索并梳理其他文献，理解核心概念“自然”的多重内涵，再次思考当代人可以回归哪一种“自然”？</w:t>
            </w:r>
          </w:p>
          <w:p w14:paraId="291D1374">
            <w:p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kern w:val="0"/>
                <w:szCs w:val="21"/>
              </w:rPr>
              <w:t>②</w:t>
            </w:r>
            <w:r>
              <w:rPr>
                <w:rFonts w:hint="eastAsia" w:ascii="宋体" w:hAnsi="宋体" w:eastAsia="宋体" w:cs="宋体"/>
                <w:color w:val="000000" w:themeColor="text1"/>
                <w:kern w:val="0"/>
                <w:szCs w:val="21"/>
                <w14:textFill>
                  <w14:solidFill>
                    <w14:schemeClr w14:val="tx1"/>
                  </w14:solidFill>
                </w14:textFill>
              </w:rPr>
              <w:t>请检索与博物学相关的文献，寻找更多元的回归路径，再次思考当代人能否通过除观看田园视频外的其他方式回归自然？</w:t>
            </w:r>
          </w:p>
        </w:tc>
        <w:tc>
          <w:tcPr>
            <w:tcW w:w="767" w:type="dxa"/>
            <w:vAlign w:val="center"/>
          </w:tcPr>
          <w:p w14:paraId="5B801498">
            <w:pPr>
              <w:ind w:firstLine="0" w:firstLineChars="0"/>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2分</w:t>
            </w:r>
          </w:p>
        </w:tc>
        <w:tc>
          <w:tcPr>
            <w:tcW w:w="2661" w:type="dxa"/>
          </w:tcPr>
          <w:p w14:paraId="5BA2E1AF">
            <w:p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能够提炼两则材料的研究方法：把握核心概念的多重内涵；提供更多维度的回归路径。</w:t>
            </w:r>
          </w:p>
          <w:p w14:paraId="12B8E7F2">
            <w:p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（有一条方法即可）</w:t>
            </w:r>
          </w:p>
        </w:tc>
      </w:tr>
      <w:tr w14:paraId="4AFC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4" w:type="dxa"/>
          </w:tcPr>
          <w:p w14:paraId="4E4253C5">
            <w:p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请搜索知网等更权威的网站信息，结合当今时代特性，重新思考当代人是否能够真正回归自然？</w:t>
            </w:r>
          </w:p>
        </w:tc>
        <w:tc>
          <w:tcPr>
            <w:tcW w:w="767" w:type="dxa"/>
            <w:vAlign w:val="center"/>
          </w:tcPr>
          <w:p w14:paraId="61947D56">
            <w:pPr>
              <w:ind w:firstLine="0" w:firstLineChars="0"/>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1分</w:t>
            </w:r>
          </w:p>
        </w:tc>
        <w:tc>
          <w:tcPr>
            <w:tcW w:w="2661" w:type="dxa"/>
          </w:tcPr>
          <w:p w14:paraId="1899451B">
            <w:p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提供宽泛的方法，但不结合材料的研究方法。</w:t>
            </w:r>
          </w:p>
        </w:tc>
      </w:tr>
      <w:tr w14:paraId="67C1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4" w:type="dxa"/>
          </w:tcPr>
          <w:p w14:paraId="5FBB3318">
            <w:p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请你进一步深入探究当代人是否能够真正回归自然，答案简洁，力求全面。</w:t>
            </w:r>
          </w:p>
        </w:tc>
        <w:tc>
          <w:tcPr>
            <w:tcW w:w="767" w:type="dxa"/>
            <w:vAlign w:val="center"/>
          </w:tcPr>
          <w:p w14:paraId="2BA415F5">
            <w:pPr>
              <w:ind w:firstLine="0" w:firstLineChars="0"/>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0分</w:t>
            </w:r>
          </w:p>
        </w:tc>
        <w:tc>
          <w:tcPr>
            <w:tcW w:w="2661" w:type="dxa"/>
          </w:tcPr>
          <w:p w14:paraId="50EB239B">
            <w:p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简单重述题干要求，不得分</w:t>
            </w:r>
          </w:p>
        </w:tc>
      </w:tr>
    </w:tbl>
    <w:p w14:paraId="1230903F">
      <w:pPr>
        <w:numPr>
          <w:ilvl w:val="0"/>
          <w:numId w:val="1"/>
        </w:num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3分</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w:t>
      </w:r>
      <w:r>
        <w:rPr>
          <w:rFonts w:ascii="宋体" w:hAnsi="宋体" w:eastAsia="宋体" w:cs="宋体"/>
          <w:color w:val="000000" w:themeColor="text1"/>
          <w:kern w:val="0"/>
          <w:szCs w:val="21"/>
          <w14:textFill>
            <w14:solidFill>
              <w14:schemeClr w14:val="tx1"/>
            </w14:solidFill>
          </w14:textFill>
        </w:rPr>
        <w:t>焊接</w:t>
      </w:r>
      <w:r>
        <w:rPr>
          <w:rFonts w:hint="eastAsia" w:ascii="宋体" w:hAnsi="宋体" w:eastAsia="宋体" w:cs="宋体"/>
          <w:color w:val="000000" w:themeColor="text1"/>
          <w:kern w:val="0"/>
          <w:szCs w:val="21"/>
          <w14:textFill>
            <w14:solidFill>
              <w14:schemeClr w14:val="tx1"/>
            </w14:solidFill>
          </w14:textFill>
        </w:rPr>
        <w:t>”是一个金属连接的动词，用以修饰</w:t>
      </w:r>
      <w:r>
        <w:rPr>
          <w:rFonts w:ascii="宋体" w:hAnsi="宋体" w:eastAsia="宋体" w:cs="宋体"/>
          <w:color w:val="000000" w:themeColor="text1"/>
          <w:kern w:val="0"/>
          <w:szCs w:val="21"/>
          <w14:textFill>
            <w14:solidFill>
              <w14:schemeClr w14:val="tx1"/>
            </w14:solidFill>
          </w14:textFill>
        </w:rPr>
        <w:t>人体骨骼修复</w:t>
      </w:r>
      <w:r>
        <w:rPr>
          <w:rFonts w:hint="eastAsia" w:ascii="宋体" w:hAnsi="宋体" w:eastAsia="宋体" w:cs="宋体"/>
          <w:color w:val="000000" w:themeColor="text1"/>
          <w:kern w:val="0"/>
          <w:szCs w:val="21"/>
          <w14:textFill>
            <w14:solidFill>
              <w14:schemeClr w14:val="tx1"/>
            </w14:solidFill>
          </w14:textFill>
        </w:rPr>
        <w:t>的</w:t>
      </w:r>
      <w:r>
        <w:rPr>
          <w:rFonts w:ascii="宋体" w:hAnsi="宋体" w:eastAsia="宋体" w:cs="宋体"/>
          <w:color w:val="000000" w:themeColor="text1"/>
          <w:kern w:val="0"/>
          <w:szCs w:val="21"/>
          <w14:textFill>
            <w14:solidFill>
              <w14:schemeClr w14:val="tx1"/>
            </w14:solidFill>
          </w14:textFill>
        </w:rPr>
        <w:t>过程</w:t>
      </w:r>
      <w:r>
        <w:rPr>
          <w:rFonts w:hint="eastAsia" w:ascii="宋体" w:hAnsi="宋体" w:eastAsia="宋体" w:cs="宋体"/>
          <w:color w:val="000000" w:themeColor="text1"/>
          <w:kern w:val="0"/>
          <w:szCs w:val="21"/>
          <w14:textFill>
            <w14:solidFill>
              <w14:schemeClr w14:val="tx1"/>
            </w14:solidFill>
          </w14:textFill>
        </w:rPr>
        <w:t>，人的血肉之躯与金属冷峻的质感形成反差，</w:t>
      </w:r>
      <w:r>
        <w:rPr>
          <w:rFonts w:ascii="宋体" w:hAnsi="宋体" w:eastAsia="宋体" w:cs="宋体"/>
          <w:color w:val="000000" w:themeColor="text1"/>
          <w:kern w:val="0"/>
          <w:szCs w:val="21"/>
          <w14:textFill>
            <w14:solidFill>
              <w14:schemeClr w14:val="tx1"/>
            </w14:solidFill>
          </w14:textFill>
        </w:rPr>
        <w:t>形象刻画出骨折伤势之严重</w:t>
      </w:r>
      <w:r>
        <w:rPr>
          <w:rFonts w:hint="eastAsia" w:ascii="宋体" w:hAnsi="宋体" w:eastAsia="宋体" w:cs="宋体"/>
          <w:color w:val="000000" w:themeColor="text1"/>
          <w:kern w:val="0"/>
          <w:szCs w:val="21"/>
          <w:lang w:eastAsia="zh-CN"/>
          <w14:textFill>
            <w14:solidFill>
              <w14:schemeClr w14:val="tx1"/>
            </w14:solidFill>
          </w14:textFill>
        </w:rPr>
        <w:t>，</w:t>
      </w:r>
      <w:r>
        <w:rPr>
          <w:rFonts w:ascii="宋体" w:hAnsi="宋体" w:eastAsia="宋体" w:cs="宋体"/>
          <w:color w:val="000000" w:themeColor="text1"/>
          <w:kern w:val="0"/>
          <w:szCs w:val="21"/>
          <w14:textFill>
            <w14:solidFill>
              <w14:schemeClr w14:val="tx1"/>
            </w14:solidFill>
          </w14:textFill>
        </w:rPr>
        <w:t>以轻描淡写的语气体现黄永玉面对病痛的豁达幽默。</w:t>
      </w:r>
    </w:p>
    <w:p w14:paraId="4D060FEF">
      <w:pPr>
        <w:numPr>
          <w:ilvl w:val="0"/>
          <w:numId w:val="1"/>
        </w:num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4分</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第②段作者聚焦日常生活中的小片段，显得平淡自然。体现了黄永玉与动物的自然互动，展现他温暖可亲的生活气息，折射其热爱生命、葆有童真的精神境界，为后文写候鸟段落铺垫，形成人与自然的意象呼应，作者的选材日常平淡中有深意，表现了自己与黄先生的亲近熟悉，也将他生动立体的形象呈现给读者，表达自己的怀念之情。</w:t>
      </w:r>
    </w:p>
    <w:p w14:paraId="5E55002F">
      <w:pPr>
        <w:numPr>
          <w:ilvl w:val="0"/>
          <w:numId w:val="1"/>
        </w:numPr>
        <w:ind w:left="0" w:leftChars="0"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4分</w:t>
      </w:r>
      <w:r>
        <w:rPr>
          <w:rFonts w:hint="eastAsia" w:ascii="宋体" w:hAnsi="宋体" w:eastAsia="宋体" w:cs="宋体"/>
          <w:color w:val="000000" w:themeColor="text1"/>
          <w:kern w:val="0"/>
          <w:szCs w:val="21"/>
          <w:lang w:eastAsia="zh-CN"/>
          <w14:textFill>
            <w14:solidFill>
              <w14:schemeClr w14:val="tx1"/>
            </w14:solidFill>
          </w14:textFill>
        </w:rPr>
        <w:t>）</w:t>
      </w:r>
      <w:r>
        <w:rPr>
          <w:rFonts w:ascii="宋体" w:hAnsi="宋体" w:eastAsia="宋体" w:cs="宋体"/>
          <w:color w:val="000000" w:themeColor="text1"/>
          <w:kern w:val="0"/>
          <w:szCs w:val="21"/>
          <w14:textFill>
            <w14:solidFill>
              <w14:schemeClr w14:val="tx1"/>
            </w14:solidFill>
          </w14:textFill>
        </w:rPr>
        <w:t>①增强真实性与现场感，书信原文</w:t>
      </w:r>
      <w:r>
        <w:rPr>
          <w:rFonts w:hint="eastAsia" w:ascii="宋体" w:hAnsi="宋体" w:eastAsia="宋体" w:cs="宋体"/>
          <w:color w:val="000000" w:themeColor="text1"/>
          <w:kern w:val="0"/>
          <w:szCs w:val="21"/>
          <w14:textFill>
            <w14:solidFill>
              <w14:schemeClr w14:val="tx1"/>
            </w14:solidFill>
          </w14:textFill>
        </w:rPr>
        <w:t>还原黄永玉鲜明的语言风格，</w:t>
      </w:r>
      <w:r>
        <w:rPr>
          <w:rFonts w:ascii="宋体" w:hAnsi="宋体" w:eastAsia="宋体" w:cs="宋体"/>
          <w:color w:val="000000" w:themeColor="text1"/>
          <w:kern w:val="0"/>
          <w:szCs w:val="21"/>
          <w14:textFill>
            <w14:solidFill>
              <w14:schemeClr w14:val="tx1"/>
            </w14:solidFill>
          </w14:textFill>
        </w:rPr>
        <w:t>让读者直面黄永玉的鲜活个性；②立体塑造形象：通过不同场景的引用展现多重性格——书信中的自然诗意（候鸟细节）、前言里的幽默自嘲“人没出息，谁也奈何不了”、后记中对文学导师的深情追忆，多维度呈现其率真、通透与赤子之心；病中前言口语化自嘲“本老头”与后记中深沉文雅“无人认领的百岁孤儿”的差异，体现其既能接地气又有文人风骨的特质。③借本人言语深化主题，借黄永玉自述“善缘”“不敢苟且”等词句，自然引出作者对其人生境界的提炼</w:t>
      </w:r>
      <w:r>
        <w:rPr>
          <w:rFonts w:hint="eastAsia" w:ascii="宋体" w:hAnsi="宋体" w:eastAsia="宋体" w:cs="宋体"/>
          <w:color w:val="000000" w:themeColor="text1"/>
          <w:kern w:val="0"/>
          <w:szCs w:val="21"/>
          <w:lang w:eastAsia="zh-CN"/>
          <w14:textFill>
            <w14:solidFill>
              <w14:schemeClr w14:val="tx1"/>
            </w14:solidFill>
          </w14:textFill>
        </w:rPr>
        <w:t>。</w:t>
      </w:r>
    </w:p>
    <w:p w14:paraId="7DF4F82B">
      <w:pPr>
        <w:ind w:firstLine="0" w:firstLineChars="0"/>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11.</w:t>
      </w:r>
      <w:r>
        <w:rPr>
          <w:rFonts w:hint="eastAsia" w:ascii="宋体" w:hAnsi="宋体" w:eastAsia="宋体" w:cs="宋体"/>
          <w:color w:val="000000" w:themeColor="text1"/>
          <w:kern w:val="0"/>
          <w:szCs w:val="21"/>
          <w14:textFill>
            <w14:solidFill>
              <w14:schemeClr w14:val="tx1"/>
            </w14:solidFill>
          </w14:textFill>
        </w:rPr>
        <w:t>（4分）</w:t>
      </w:r>
    </w:p>
    <w:p w14:paraId="39E17572">
      <w:pPr>
        <w:ind w:firstLine="0" w:firstLineChars="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答案示例：我不认同这个观点。</w:t>
      </w:r>
      <w:r>
        <w:rPr>
          <w:rFonts w:ascii="宋体" w:hAnsi="宋体" w:eastAsia="宋体" w:cs="宋体"/>
          <w:color w:val="000000" w:themeColor="text1"/>
          <w:kern w:val="0"/>
          <w:szCs w:val="21"/>
          <w14:textFill>
            <w14:solidFill>
              <w14:schemeClr w14:val="tx1"/>
            </w14:solidFill>
          </w14:textFill>
        </w:rPr>
        <w:t>原题</w:t>
      </w:r>
      <w:r>
        <w:rPr>
          <w:rFonts w:hint="eastAsia" w:ascii="宋体" w:hAnsi="宋体" w:eastAsia="宋体" w:cs="宋体"/>
          <w:color w:val="000000" w:themeColor="text1"/>
          <w:kern w:val="0"/>
          <w:szCs w:val="21"/>
          <w14:textFill>
            <w14:solidFill>
              <w14:schemeClr w14:val="tx1"/>
            </w14:solidFill>
          </w14:textFill>
        </w:rPr>
        <w:t>虽然在文中只出现一次，但这句话</w:t>
      </w:r>
      <w:r>
        <w:rPr>
          <w:rFonts w:ascii="宋体" w:hAnsi="宋体" w:eastAsia="宋体" w:cs="宋体"/>
          <w:color w:val="000000" w:themeColor="text1"/>
          <w:kern w:val="0"/>
          <w:szCs w:val="21"/>
          <w14:textFill>
            <w14:solidFill>
              <w14:schemeClr w14:val="tx1"/>
            </w14:solidFill>
          </w14:textFill>
        </w:rPr>
        <w:t>是黄永玉书信中的具体</w:t>
      </w:r>
      <w:r>
        <w:rPr>
          <w:rFonts w:hint="eastAsia" w:ascii="宋体" w:hAnsi="宋体" w:eastAsia="宋体" w:cs="宋体"/>
          <w:color w:val="000000" w:themeColor="text1"/>
          <w:kern w:val="0"/>
          <w:szCs w:val="21"/>
          <w14:textFill>
            <w14:solidFill>
              <w14:schemeClr w14:val="tx1"/>
            </w14:solidFill>
          </w14:textFill>
        </w:rPr>
        <w:t>表达</w:t>
      </w:r>
      <w:r>
        <w:rPr>
          <w:rFonts w:ascii="宋体" w:hAnsi="宋体" w:eastAsia="宋体" w:cs="宋体"/>
          <w:color w:val="000000" w:themeColor="text1"/>
          <w:kern w:val="0"/>
          <w:szCs w:val="21"/>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即表达了他对自然和其他生命的关切，也象征了</w:t>
      </w:r>
      <w:r>
        <w:rPr>
          <w:rFonts w:ascii="宋体" w:hAnsi="宋体" w:eastAsia="宋体" w:cs="宋体"/>
          <w:color w:val="000000" w:themeColor="text1"/>
          <w:kern w:val="0"/>
          <w:szCs w:val="21"/>
          <w14:textFill>
            <w14:solidFill>
              <w14:schemeClr w14:val="tx1"/>
            </w14:solidFill>
          </w14:textFill>
        </w:rPr>
        <w:t>生命轮回</w:t>
      </w:r>
      <w:r>
        <w:rPr>
          <w:rFonts w:hint="eastAsia" w:ascii="宋体" w:hAnsi="宋体" w:eastAsia="宋体" w:cs="宋体"/>
          <w:color w:val="000000" w:themeColor="text1"/>
          <w:kern w:val="0"/>
          <w:szCs w:val="21"/>
          <w14:textFill>
            <w14:solidFill>
              <w14:schemeClr w14:val="tx1"/>
            </w14:solidFill>
          </w14:textFill>
        </w:rPr>
        <w:t>与艺术永恒</w:t>
      </w:r>
      <w:r>
        <w:rPr>
          <w:rFonts w:ascii="宋体" w:hAnsi="宋体" w:eastAsia="宋体" w:cs="宋体"/>
          <w:color w:val="000000" w:themeColor="text1"/>
          <w:kern w:val="0"/>
          <w:szCs w:val="21"/>
          <w14:textFill>
            <w14:solidFill>
              <w14:schemeClr w14:val="tx1"/>
            </w14:solidFill>
          </w14:textFill>
        </w:rPr>
        <w:t>，呼应文中自然意象，</w:t>
      </w:r>
      <w:r>
        <w:rPr>
          <w:rFonts w:hint="eastAsia" w:ascii="宋体" w:hAnsi="宋体" w:eastAsia="宋体" w:cs="宋体"/>
          <w:color w:val="000000" w:themeColor="text1"/>
          <w:kern w:val="0"/>
          <w:szCs w:val="21"/>
          <w14:textFill>
            <w14:solidFill>
              <w14:schemeClr w14:val="tx1"/>
            </w14:solidFill>
          </w14:textFill>
        </w:rPr>
        <w:t>作者选择引用本句作为标题，表达对黄先生的开阔精神与艺术世界的赞赏</w:t>
      </w:r>
      <w:r>
        <w:rPr>
          <w:rFonts w:ascii="宋体" w:hAnsi="宋体" w:eastAsia="宋体" w:cs="宋体"/>
          <w:color w:val="000000" w:themeColor="text1"/>
          <w:kern w:val="0"/>
          <w:szCs w:val="21"/>
          <w14:textFill>
            <w14:solidFill>
              <w14:schemeClr w14:val="tx1"/>
            </w14:solidFill>
          </w14:textFill>
        </w:rPr>
        <w:t>。"善缘"虽点明主题</w:t>
      </w:r>
      <w:r>
        <w:rPr>
          <w:rFonts w:hint="eastAsia" w:ascii="宋体" w:hAnsi="宋体" w:eastAsia="宋体" w:cs="宋体"/>
          <w:color w:val="000000" w:themeColor="text1"/>
          <w:kern w:val="0"/>
          <w:szCs w:val="21"/>
          <w14:textFill>
            <w14:solidFill>
              <w14:schemeClr w14:val="tx1"/>
            </w14:solidFill>
          </w14:textFill>
        </w:rPr>
        <w:t>，与副标题呼应，</w:t>
      </w:r>
      <w:r>
        <w:rPr>
          <w:rFonts w:ascii="宋体" w:hAnsi="宋体" w:eastAsia="宋体" w:cs="宋体"/>
          <w:color w:val="000000" w:themeColor="text1"/>
          <w:kern w:val="0"/>
          <w:szCs w:val="21"/>
          <w14:textFill>
            <w14:solidFill>
              <w14:schemeClr w14:val="tx1"/>
            </w14:solidFill>
          </w14:textFill>
        </w:rPr>
        <w:t>但过于直白，原题以诗意留白统摄全文，更具</w:t>
      </w:r>
      <w:r>
        <w:rPr>
          <w:rFonts w:hint="eastAsia" w:ascii="宋体" w:hAnsi="宋体" w:eastAsia="宋体" w:cs="宋体"/>
          <w:color w:val="000000" w:themeColor="text1"/>
          <w:kern w:val="0"/>
          <w:szCs w:val="21"/>
          <w14:textFill>
            <w14:solidFill>
              <w14:schemeClr w14:val="tx1"/>
            </w14:solidFill>
          </w14:textFill>
        </w:rPr>
        <w:t>诗意与</w:t>
      </w:r>
      <w:r>
        <w:rPr>
          <w:rFonts w:ascii="宋体" w:hAnsi="宋体" w:eastAsia="宋体" w:cs="宋体"/>
          <w:color w:val="000000" w:themeColor="text1"/>
          <w:kern w:val="0"/>
          <w:szCs w:val="21"/>
          <w14:textFill>
            <w14:solidFill>
              <w14:schemeClr w14:val="tx1"/>
            </w14:solidFill>
          </w14:textFill>
        </w:rPr>
        <w:t>文学感染力。</w:t>
      </w:r>
    </w:p>
    <w:p w14:paraId="19635894">
      <w:pPr>
        <w:ind w:firstLine="210" w:firstLineChars="100"/>
        <w:rPr>
          <w:rFonts w:ascii="宋体" w:hAnsi="宋体" w:eastAsia="宋体" w:cs="宋体"/>
          <w:szCs w:val="21"/>
        </w:rPr>
      </w:pPr>
      <w:r>
        <w:rPr>
          <w:rFonts w:hint="eastAsia" w:ascii="宋体" w:hAnsi="宋体" w:eastAsia="宋体" w:cs="宋体"/>
          <w:color w:val="000000" w:themeColor="text1"/>
          <w:kern w:val="0"/>
          <w:szCs w:val="21"/>
          <w14:textFill>
            <w14:solidFill>
              <w14:schemeClr w14:val="tx1"/>
            </w14:solidFill>
          </w14:textFill>
        </w:rPr>
        <w:t>我认同这个观点。</w:t>
      </w:r>
      <w:r>
        <w:rPr>
          <w:rFonts w:ascii="宋体" w:hAnsi="宋体" w:eastAsia="宋体" w:cs="宋体"/>
          <w:color w:val="000000" w:themeColor="text1"/>
          <w:kern w:val="0"/>
          <w:szCs w:val="21"/>
          <w14:textFill>
            <w14:solidFill>
              <w14:schemeClr w14:val="tx1"/>
            </w14:solidFill>
          </w14:textFill>
        </w:rPr>
        <w:t>标题统摄"善缘"核心意象，呼应文中艺术家与亲友、艺术、自然的深厚缘分；点明人生百年的精神内核，突出黄永玉待人接物的通达境界；与结尾"人生百年长勤的种种善缘"形成首尾呼应</w:t>
      </w:r>
      <w:r>
        <w:rPr>
          <w:rFonts w:hint="eastAsia" w:ascii="宋体" w:hAnsi="宋体" w:eastAsia="宋体" w:cs="宋体"/>
          <w:color w:val="000000" w:themeColor="text1"/>
          <w:kern w:val="0"/>
          <w:szCs w:val="21"/>
          <w14:textFill>
            <w14:solidFill>
              <w14:schemeClr w14:val="tx1"/>
            </w14:solidFill>
          </w14:textFill>
        </w:rPr>
        <w:t>，可以串联全文</w:t>
      </w:r>
      <w:r>
        <w:rPr>
          <w:rFonts w:ascii="宋体" w:hAnsi="宋体" w:eastAsia="宋体" w:cs="宋体"/>
          <w:color w:val="000000" w:themeColor="text1"/>
          <w:kern w:val="0"/>
          <w:szCs w:val="21"/>
          <w14:textFill>
            <w14:solidFill>
              <w14:schemeClr w14:val="tx1"/>
            </w14:solidFill>
          </w14:textFill>
        </w:rPr>
        <w:t>；相比原标题的片段式意象，新题更具哲理性，能引导读者关注生命本质</w:t>
      </w:r>
      <w:r>
        <w:rPr>
          <w:rFonts w:hint="eastAsia" w:ascii="宋体" w:hAnsi="宋体" w:eastAsia="宋体" w:cs="宋体"/>
          <w:color w:val="000000" w:themeColor="text1"/>
          <w:kern w:val="0"/>
          <w:szCs w:val="21"/>
          <w14:textFill>
            <w14:solidFill>
              <w14:schemeClr w14:val="tx1"/>
            </w14:solidFill>
          </w14:textFill>
        </w:rPr>
        <w:t>，与副标题更为契合，使读者一目了然。</w:t>
      </w:r>
    </w:p>
    <w:p w14:paraId="1349E828">
      <w:pPr>
        <w:ind w:firstLine="0" w:firstLineChars="0"/>
        <w:rPr>
          <w:rFonts w:ascii="宋体" w:hAnsi="宋体" w:eastAsia="宋体" w:cs="宋体"/>
          <w:szCs w:val="21"/>
        </w:rPr>
      </w:pPr>
      <w:r>
        <w:rPr>
          <w:rFonts w:hint="eastAsia" w:ascii="宋体" w:hAnsi="宋体" w:eastAsia="宋体" w:cs="宋体"/>
          <w:szCs w:val="21"/>
        </w:rPr>
        <w:t>12.</w:t>
      </w:r>
      <w:r>
        <w:rPr>
          <w:rFonts w:hint="eastAsia" w:ascii="宋体" w:hAnsi="宋体" w:eastAsia="宋体" w:cs="宋体"/>
          <w:szCs w:val="21"/>
          <w:lang w:eastAsia="zh-CN"/>
        </w:rPr>
        <w:t>（</w:t>
      </w:r>
      <w:r>
        <w:rPr>
          <w:rFonts w:hint="eastAsia" w:ascii="宋体" w:hAnsi="宋体" w:eastAsia="宋体" w:cs="宋体"/>
          <w:szCs w:val="21"/>
          <w:lang w:val="en-US" w:eastAsia="zh-CN"/>
        </w:rPr>
        <w:t>3分</w:t>
      </w:r>
      <w:r>
        <w:rPr>
          <w:rFonts w:hint="eastAsia" w:ascii="宋体" w:hAnsi="宋体" w:eastAsia="宋体" w:cs="宋体"/>
          <w:szCs w:val="21"/>
          <w:lang w:eastAsia="zh-CN"/>
        </w:rPr>
        <w:t>）</w:t>
      </w:r>
      <w:r>
        <w:rPr>
          <w:rFonts w:hint="eastAsia" w:ascii="宋体" w:hAnsi="宋体" w:eastAsia="宋体" w:cs="宋体"/>
          <w:szCs w:val="21"/>
        </w:rPr>
        <w:t>C</w:t>
      </w:r>
    </w:p>
    <w:p w14:paraId="155BF776">
      <w:pPr>
        <w:widowControl/>
        <w:ind w:firstLine="0" w:firstLineChars="0"/>
        <w:jc w:val="left"/>
        <w:rPr>
          <w:rFonts w:ascii="宋体" w:hAnsi="宋体" w:eastAsia="宋体" w:cs="宋体"/>
          <w:szCs w:val="21"/>
        </w:rPr>
      </w:pPr>
      <w:r>
        <w:rPr>
          <w:rFonts w:hint="eastAsia" w:ascii="宋体" w:hAnsi="宋体" w:eastAsia="宋体" w:cs="宋体"/>
          <w:szCs w:val="21"/>
        </w:rPr>
        <w:t>13.</w:t>
      </w:r>
      <w:r>
        <w:rPr>
          <w:rFonts w:hint="eastAsia" w:ascii="宋体" w:hAnsi="宋体" w:eastAsia="宋体" w:cs="宋体"/>
          <w:szCs w:val="21"/>
          <w:lang w:eastAsia="zh-CN"/>
        </w:rPr>
        <w:t>（</w:t>
      </w:r>
      <w:r>
        <w:rPr>
          <w:rFonts w:hint="eastAsia" w:ascii="宋体" w:hAnsi="宋体" w:eastAsia="宋体" w:cs="宋体"/>
          <w:szCs w:val="21"/>
          <w:lang w:val="en-US" w:eastAsia="zh-CN"/>
        </w:rPr>
        <w:t>5分</w:t>
      </w:r>
      <w:r>
        <w:rPr>
          <w:rFonts w:hint="eastAsia" w:ascii="宋体" w:hAnsi="宋体" w:eastAsia="宋体" w:cs="宋体"/>
          <w:szCs w:val="21"/>
          <w:lang w:eastAsia="zh-CN"/>
        </w:rPr>
        <w:t>）</w:t>
      </w:r>
      <w:r>
        <w:rPr>
          <w:rFonts w:hint="eastAsia" w:ascii="宋体" w:hAnsi="宋体" w:eastAsia="宋体" w:cs="宋体"/>
          <w:szCs w:val="21"/>
        </w:rPr>
        <w:t>前诗的颔联和颈联基本在诠释首联的写作内容，表现山泉的高、静、清、寒，意义重复堆叠；而后诗在颔联的写作上有所变化，强调泉水“洁”和“静”的前提是“处静”与“不汲”，从自然景观引申到为人处世，暗含人和泉一样，要安于宁静、无为而治，诗意丰富有深意；颈联叙述视角从前诗泉的角度转变为人的视角，从“饮”和“鉴”的两种行为感受泉水的清冽宁谧，从欣赏自然到观照自我，且为尾联 “沉酣者”借此“解酲”提供依据。</w:t>
      </w:r>
    </w:p>
    <w:p w14:paraId="043134CD">
      <w:pPr>
        <w:widowControl/>
        <w:ind w:firstLine="0" w:firstLineChars="0"/>
        <w:jc w:val="left"/>
        <w:rPr>
          <w:rFonts w:ascii="宋体" w:hAnsi="宋体" w:eastAsia="宋体" w:cs="宋体"/>
          <w:szCs w:val="21"/>
        </w:rPr>
      </w:pPr>
      <w:r>
        <w:rPr>
          <w:rFonts w:hint="eastAsia" w:ascii="宋体" w:hAnsi="宋体" w:eastAsia="宋体" w:cs="宋体"/>
          <w:szCs w:val="21"/>
        </w:rPr>
        <w:t xml:space="preserve">14.（2分）（1） 致力于  （2） 卷宗  </w:t>
      </w:r>
    </w:p>
    <w:p w14:paraId="6EC34229">
      <w:pPr>
        <w:widowControl/>
        <w:ind w:firstLine="0" w:firstLineChars="0"/>
        <w:jc w:val="left"/>
        <w:rPr>
          <w:rFonts w:hint="eastAsia" w:ascii="宋体" w:hAnsi="宋体" w:eastAsia="宋体" w:cs="宋体"/>
          <w:szCs w:val="21"/>
        </w:rPr>
      </w:pPr>
      <w:r>
        <w:rPr>
          <w:rFonts w:hint="eastAsia" w:ascii="宋体" w:hAnsi="宋体" w:eastAsia="宋体" w:cs="宋体"/>
          <w:szCs w:val="21"/>
        </w:rPr>
        <w:t xml:space="preserve">15．（2分）（1）  D     （2）  B  </w:t>
      </w:r>
    </w:p>
    <w:p w14:paraId="3E9ADEAB">
      <w:pPr>
        <w:widowControl/>
        <w:ind w:firstLine="0" w:firstLineChars="0"/>
        <w:jc w:val="left"/>
        <w:rPr>
          <w:rFonts w:hint="eastAsia" w:ascii="宋体" w:hAnsi="宋体" w:eastAsia="宋体" w:cs="宋体"/>
          <w:szCs w:val="21"/>
        </w:rPr>
      </w:pPr>
      <w:r>
        <w:rPr>
          <w:rFonts w:hint="eastAsia" w:ascii="宋体" w:hAnsi="宋体" w:eastAsia="宋体" w:cs="宋体"/>
          <w:szCs w:val="21"/>
        </w:rPr>
        <w:t>16．（3分）</w:t>
      </w:r>
    </w:p>
    <w:p w14:paraId="22B2F3A6">
      <w:pPr>
        <w:widowControl/>
        <w:ind w:firstLine="0" w:firstLineChars="0"/>
        <w:jc w:val="left"/>
        <w:rPr>
          <w:rFonts w:ascii="宋体" w:hAnsi="宋体" w:eastAsia="宋体" w:cs="宋体"/>
          <w:szCs w:val="21"/>
        </w:rPr>
      </w:pPr>
      <w:r>
        <w:rPr>
          <w:rFonts w:hint="eastAsia" w:ascii="宋体" w:hAnsi="宋体" w:eastAsia="宋体" w:cs="宋体"/>
          <w:szCs w:val="21"/>
        </w:rPr>
        <w:t>是州之粮/比元经理已增一千一百余石/岂复有欺隐诡寄者乎/准宪司所拟可也</w:t>
      </w:r>
    </w:p>
    <w:p w14:paraId="00E2FE0B">
      <w:pPr>
        <w:widowControl/>
        <w:ind w:firstLine="0" w:firstLineChars="0"/>
        <w:jc w:val="left"/>
        <w:rPr>
          <w:rFonts w:ascii="宋体" w:hAnsi="宋体" w:eastAsia="宋体" w:cs="宋体"/>
          <w:szCs w:val="21"/>
        </w:rPr>
      </w:pPr>
      <w:r>
        <w:rPr>
          <w:rFonts w:hint="eastAsia" w:ascii="宋体" w:hAnsi="宋体" w:eastAsia="宋体" w:cs="宋体"/>
          <w:szCs w:val="21"/>
        </w:rPr>
        <w:t>17．（6分）</w:t>
      </w:r>
    </w:p>
    <w:p w14:paraId="1F388D31">
      <w:pPr>
        <w:widowControl/>
        <w:ind w:firstLine="0" w:firstLineChars="0"/>
        <w:jc w:val="left"/>
        <w:rPr>
          <w:rFonts w:ascii="宋体" w:hAnsi="宋体" w:eastAsia="宋体" w:cs="宋体"/>
          <w:szCs w:val="21"/>
        </w:rPr>
      </w:pPr>
      <w:r>
        <w:rPr>
          <w:rFonts w:hint="eastAsia" w:ascii="宋体" w:hAnsi="宋体" w:eastAsia="宋体" w:cs="宋体"/>
          <w:szCs w:val="21"/>
        </w:rPr>
        <w:t>翻译：阻挠这一建议的人认为有既定的户籍，不可更改。王艮坚定地说说：“老百姓实际人数少而强行按照超过的人数多征了盐税，如今迁移、死亡的人已经很多了，难道以更改已经有的户籍为重却以放弃百姓性命为轻吗！</w:t>
      </w:r>
    </w:p>
    <w:p w14:paraId="578D562F">
      <w:pPr>
        <w:widowControl/>
        <w:ind w:firstLine="0" w:firstLineChars="0"/>
        <w:jc w:val="left"/>
        <w:rPr>
          <w:rFonts w:ascii="宋体" w:hAnsi="宋体" w:eastAsia="宋体" w:cs="宋体"/>
          <w:szCs w:val="21"/>
        </w:rPr>
      </w:pPr>
      <w:r>
        <w:rPr>
          <w:rFonts w:hint="eastAsia" w:ascii="宋体" w:hAnsi="宋体" w:eastAsia="宋体" w:cs="宋体"/>
          <w:szCs w:val="21"/>
        </w:rPr>
        <w:t>18．（3分）</w:t>
      </w:r>
    </w:p>
    <w:p w14:paraId="6430360E">
      <w:pPr>
        <w:widowControl/>
        <w:ind w:firstLine="0" w:firstLineChars="0"/>
        <w:jc w:val="left"/>
        <w:rPr>
          <w:rFonts w:ascii="宋体" w:hAnsi="宋体" w:eastAsia="宋体" w:cs="宋体"/>
          <w:szCs w:val="21"/>
        </w:rPr>
      </w:pPr>
      <w:r>
        <w:rPr>
          <w:rFonts w:hint="eastAsia" w:ascii="宋体" w:hAnsi="宋体" w:eastAsia="宋体" w:cs="宋体"/>
          <w:szCs w:val="21"/>
        </w:rPr>
        <w:t>第③段划线句交代官府中的一个小吏诬告百姓欺骗隐瞒了田租九千余石，经过十几年时间，受害的无辜百姓从开始的八家牵连到上千家，这些具体的数据表现百姓受迫害程度之深、时间之长、范围之广，揭示当时社会吏治的黑暗无道，也从侧面体现王艮为官正直，以一己之力维护百姓的利益，是百姓真正的父母官。</w:t>
      </w:r>
    </w:p>
    <w:p w14:paraId="2896ABAD">
      <w:pPr>
        <w:widowControl/>
        <w:ind w:firstLine="0" w:firstLineChars="0"/>
        <w:jc w:val="left"/>
        <w:rPr>
          <w:rFonts w:ascii="宋体" w:hAnsi="宋体" w:eastAsia="宋体" w:cs="宋体"/>
          <w:szCs w:val="21"/>
        </w:rPr>
      </w:pPr>
      <w:r>
        <w:rPr>
          <w:rFonts w:hint="eastAsia" w:ascii="宋体" w:hAnsi="宋体" w:eastAsia="宋体" w:cs="宋体"/>
          <w:szCs w:val="21"/>
        </w:rPr>
        <w:t xml:space="preserve">19.（4分）                           </w:t>
      </w:r>
    </w:p>
    <w:p w14:paraId="3744D79A">
      <w:pPr>
        <w:widowControl/>
        <w:ind w:firstLine="0" w:firstLineChars="0"/>
        <w:jc w:val="left"/>
        <w:rPr>
          <w:rFonts w:ascii="宋体" w:hAnsi="宋体" w:eastAsia="宋体" w:cs="宋体"/>
          <w:szCs w:val="21"/>
        </w:rPr>
      </w:pPr>
      <w:r>
        <w:rPr>
          <w:rFonts w:hint="eastAsia" w:ascii="宋体" w:hAnsi="宋体" w:eastAsia="宋体" w:cs="宋体"/>
          <w:szCs w:val="21"/>
        </w:rPr>
        <w:t>可信度强，王艮担任检校中书时发出感慨“王某止检校耶？”，说明他不甘于只任查核文牍的闲职，而有济世救民的高远志向，甲文中王艮为百姓所做的多件事都能体现这一点。如王艮坚决要求减少盐税数额，以宽舒民力；责成海路运户自行将粮食送入海运船只；大量查阅文案，免除缴纳已损失的粮食和钱财，让运户免于破产；制止邀功生事的官吏强迫百姓多征六百余石的粮食。这些根据史实记载的事件为乙文王艮的感慨提供强有力的依据。</w:t>
      </w:r>
    </w:p>
    <w:p w14:paraId="670FFAEC">
      <w:pPr>
        <w:ind w:firstLine="0" w:firstLineChars="0"/>
        <w:jc w:val="left"/>
        <w:rPr>
          <w:rFonts w:ascii="宋体" w:hAnsi="宋体" w:eastAsia="宋体" w:cs="宋体"/>
          <w:szCs w:val="21"/>
        </w:rPr>
      </w:pPr>
      <w:r>
        <w:rPr>
          <w:rFonts w:hint="eastAsia" w:ascii="宋体" w:hAnsi="宋体" w:eastAsia="宋体" w:cs="宋体"/>
          <w:szCs w:val="21"/>
        </w:rPr>
        <w:t>20. D （3分）</w:t>
      </w:r>
    </w:p>
    <w:p w14:paraId="6B1A109D">
      <w:pPr>
        <w:ind w:firstLine="0" w:firstLineChars="0"/>
        <w:jc w:val="left"/>
        <w:rPr>
          <w:rFonts w:ascii="宋体" w:hAnsi="宋体" w:eastAsia="宋体" w:cs="宋体"/>
          <w:szCs w:val="21"/>
        </w:rPr>
      </w:pPr>
      <w:r>
        <w:rPr>
          <w:rFonts w:hint="eastAsia" w:ascii="宋体" w:hAnsi="宋体" w:eastAsia="宋体" w:cs="宋体"/>
          <w:szCs w:val="21"/>
        </w:rPr>
        <w:t>21. C（4分）</w:t>
      </w:r>
    </w:p>
    <w:p w14:paraId="61FC51EA">
      <w:pPr>
        <w:ind w:firstLine="0" w:firstLineChars="0"/>
        <w:rPr>
          <w:rFonts w:ascii="宋体" w:hAnsi="宋体" w:eastAsia="宋体" w:cs="宋体"/>
          <w:szCs w:val="21"/>
        </w:rPr>
      </w:pPr>
      <w:r>
        <w:rPr>
          <w:rFonts w:hint="eastAsia" w:ascii="宋体" w:hAnsi="宋体" w:eastAsia="宋体" w:cs="宋体"/>
          <w:szCs w:val="21"/>
        </w:rPr>
        <w:t>22.（3分）划线句运用历史人物的例子进行论证说理，孔子因为思念文王喜欢吃文王爱吃的“昌歜”；孔子的弟子们因为思念孔子就以长相酷似孔子的有若为师，通过这两个例子充分论证人们会因为仰慕某个人千方百计想学习对方的生活习惯，想看到对方的长相容貌，为下文写自己到郢州孟亭一睹孟浩然画像为快作铺垫。</w:t>
      </w:r>
    </w:p>
    <w:p w14:paraId="27DF7A04">
      <w:pPr>
        <w:ind w:firstLine="0" w:firstLineChars="0"/>
        <w:rPr>
          <w:rFonts w:ascii="楷体" w:hAnsi="楷体" w:eastAsia="楷体" w:cs="楷体"/>
          <w:color w:val="0000FF"/>
          <w:kern w:val="0"/>
          <w:szCs w:val="21"/>
        </w:rPr>
      </w:pPr>
      <w:r>
        <w:rPr>
          <w:rFonts w:hint="eastAsia" w:ascii="宋体" w:hAnsi="宋体" w:eastAsia="宋体" w:cs="宋体"/>
          <w:szCs w:val="21"/>
        </w:rPr>
        <w:t>23.（4分）两种看法并不矛盾，本文作者皮日休是从孟浩然的道德境界和人格魅力出发，评价孟浩然虽然贫穷但道德高尚、虽然已经去世但诗文不朽，达到了“士”的最高境界；《唐才子传》作者感慨孟浩然虽然才华横溢，声名远播，但没有在明君在位的朝代踏入仕途实现政治理想，是一件可悲可叹的事情。这是从政治仕途的角度评价孟浩然的人生际遇。两种看法基于不同角度，并不矛盾。</w:t>
      </w:r>
    </w:p>
    <w:p w14:paraId="4358B688">
      <w:pPr>
        <w:widowControl/>
        <w:ind w:firstLine="0" w:firstLineChars="0"/>
        <w:jc w:val="left"/>
        <w:rPr>
          <w:rFonts w:ascii="宋体" w:hAnsi="宋体" w:eastAsia="宋体" w:cs="宋体"/>
          <w:szCs w:val="21"/>
        </w:rPr>
      </w:pPr>
      <w:r>
        <w:rPr>
          <w:rFonts w:hint="eastAsia" w:ascii="宋体" w:hAnsi="宋体" w:eastAsia="宋体" w:cs="宋体"/>
          <w:szCs w:val="21"/>
        </w:rPr>
        <w:t xml:space="preserve">                                                                                                                                                              </w:t>
      </w:r>
    </w:p>
    <w:p w14:paraId="3D5F5965">
      <w:pPr>
        <w:widowControl/>
        <w:ind w:firstLine="0" w:firstLineChars="0"/>
        <w:jc w:val="left"/>
        <w:rPr>
          <w:rFonts w:ascii="宋体" w:hAnsi="宋体" w:eastAsia="宋体" w:cs="宋体"/>
          <w:szCs w:val="21"/>
        </w:rPr>
      </w:pPr>
      <w:r>
        <w:rPr>
          <w:rFonts w:hint="eastAsia" w:ascii="宋体" w:hAnsi="宋体" w:eastAsia="宋体" w:cs="宋体"/>
          <w:szCs w:val="21"/>
        </w:rPr>
        <w:t xml:space="preserve">                                                                                                                                                                 </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C37A1">
    <w:pPr>
      <w:tabs>
        <w:tab w:val="center" w:pos="4153"/>
        <w:tab w:val="right" w:pos="8306"/>
      </w:tabs>
      <w:snapToGrid w:val="0"/>
      <w:spacing w:line="240" w:lineRule="auto"/>
      <w:ind w:firstLine="0" w:firstLineChars="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250EA">
    <w:pPr>
      <w:pBdr>
        <w:bottom w:val="none" w:color="auto" w:sz="0" w:space="1"/>
      </w:pBdr>
      <w:snapToGrid w:val="0"/>
      <w:spacing w:line="240" w:lineRule="auto"/>
      <w:ind w:firstLine="0" w:firstLineChars="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75DA44"/>
    <w:multiLevelType w:val="singleLevel"/>
    <w:tmpl w:val="EB75DA44"/>
    <w:lvl w:ilvl="0" w:tentative="0">
      <w:start w:val="8"/>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11A"/>
    <w:rsid w:val="002A1511"/>
    <w:rsid w:val="003A1A79"/>
    <w:rsid w:val="004151FC"/>
    <w:rsid w:val="00605CAB"/>
    <w:rsid w:val="0090611A"/>
    <w:rsid w:val="00AD4462"/>
    <w:rsid w:val="00C02FC6"/>
    <w:rsid w:val="00FD3F7F"/>
    <w:rsid w:val="010175A5"/>
    <w:rsid w:val="05FB64B8"/>
    <w:rsid w:val="08113D2C"/>
    <w:rsid w:val="0FB175B4"/>
    <w:rsid w:val="1E8A53FE"/>
    <w:rsid w:val="311642AB"/>
    <w:rsid w:val="4CA126CC"/>
    <w:rsid w:val="4CAF57B3"/>
    <w:rsid w:val="540F7A6C"/>
    <w:rsid w:val="57831D16"/>
    <w:rsid w:val="5D541385"/>
    <w:rsid w:val="66F81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spacing w:line="240" w:lineRule="auto"/>
      <w:ind w:firstLine="0" w:firstLineChars="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qFormat/>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2617</Words>
  <Characters>2663</Characters>
  <Lines>23</Lines>
  <Paragraphs>6</Paragraphs>
  <TotalTime>0</TotalTime>
  <ScaleCrop>false</ScaleCrop>
  <LinksUpToDate>false</LinksUpToDate>
  <CharactersWithSpaces>3039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2025-03-18T08:19:00Z</dcterms:created>
  <dc:creator>贾冬梅</dc:creator>
  <cp:lastModifiedBy>何京应</cp:lastModifiedBy>
  <dcterms:modified xsi:type="dcterms:W3CDTF">2025-04-24T01:00:53Z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2052-12.1.0.20784</vt:lpwstr>
  </property>
  <property fmtid="{D5CDD505-2E9C-101B-9397-08002B2CF9AE}" pid="4" name="ICV">
    <vt:lpwstr>C0EFFC3105734DD38264DE9E3114A255_12</vt:lpwstr>
  </property>
</Properties>
</file>